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A4E7F">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第一章 化学反应的热效应</w:t>
      </w:r>
    </w:p>
    <w:p w14:paraId="11E21BA8">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第二节 反应热的计算</w:t>
      </w:r>
    </w:p>
    <w:p w14:paraId="2A4BB462">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课时2</w:t>
      </w:r>
      <w:r>
        <w:rPr>
          <w:rFonts w:ascii="Times New Roman" w:hAnsi="Times New Roman" w:eastAsia="宋体" w:cs="Times New Roman"/>
          <w:b/>
          <w:bCs/>
          <w:sz w:val="22"/>
          <w:lang w:val="zh-CN"/>
        </w:rPr>
        <w:t>反应热的计算</w:t>
      </w:r>
    </w:p>
    <w:p w14:paraId="3553CE7F">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6B25AF22">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b/>
          <w:bCs/>
          <w:sz w:val="22"/>
        </w:rPr>
        <w:t>一、反应热的计算</w:t>
      </w:r>
    </w:p>
    <w:p w14:paraId="1FBC92C1">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1．根据热化学方程式计算</w:t>
      </w:r>
    </w:p>
    <w:p w14:paraId="2056C311">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热化学方程式中反应热数值与各物质的化学计量数成正比。例如，</w:t>
      </w:r>
    </w:p>
    <w:p w14:paraId="3B862B8F">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pacing w:val="-16"/>
          <w:szCs w:val="21"/>
        </w:rPr>
        <w:t>===</w:t>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　Δ</w:t>
      </w:r>
      <w:r>
        <w:rPr>
          <w:rFonts w:ascii="Times New Roman" w:hAnsi="Times New Roman" w:eastAsia="宋体" w:cs="Times New Roman"/>
          <w:i/>
          <w:szCs w:val="21"/>
        </w:rPr>
        <w:t>H</w:t>
      </w:r>
    </w:p>
    <w:p w14:paraId="2541D243">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i/>
          <w:szCs w:val="21"/>
        </w:rPr>
        <w:t>a</w:t>
      </w:r>
      <w:r>
        <w:rPr>
          <w:rFonts w:ascii="Times New Roman" w:hAnsi="Times New Roman" w:eastAsia="宋体" w:cs="Times New Roman"/>
          <w:szCs w:val="21"/>
        </w:rPr>
        <w:t>　　　</w:t>
      </w:r>
      <w:r>
        <w:rPr>
          <w:rFonts w:ascii="Times New Roman" w:hAnsi="Times New Roman" w:eastAsia="宋体" w:cs="Times New Roman"/>
          <w:i/>
          <w:szCs w:val="21"/>
        </w:rPr>
        <w:t>b</w:t>
      </w:r>
      <w:r>
        <w:rPr>
          <w:rFonts w:ascii="Times New Roman" w:hAnsi="Times New Roman" w:eastAsia="宋体" w:cs="Times New Roman"/>
          <w:szCs w:val="21"/>
        </w:rPr>
        <w:t>　　　　</w:t>
      </w:r>
      <w:r>
        <w:rPr>
          <w:rFonts w:ascii="Times New Roman" w:hAnsi="Times New Roman" w:eastAsia="宋体" w:cs="Times New Roman"/>
          <w:i/>
          <w:szCs w:val="21"/>
        </w:rPr>
        <w:t>c</w:t>
      </w:r>
      <w:r>
        <w:rPr>
          <w:rFonts w:ascii="Times New Roman" w:hAnsi="Times New Roman" w:eastAsia="宋体" w:cs="Times New Roman"/>
          <w:szCs w:val="21"/>
        </w:rPr>
        <w:t>　　　</w:t>
      </w:r>
      <w:r>
        <w:rPr>
          <w:rFonts w:ascii="Times New Roman" w:hAnsi="Times New Roman" w:eastAsia="宋体" w:cs="Times New Roman"/>
          <w:i/>
          <w:szCs w:val="21"/>
        </w:rPr>
        <w:t>d</w:t>
      </w:r>
      <w:r>
        <w:rPr>
          <w:rFonts w:ascii="Times New Roman" w:hAnsi="Times New Roman" w:eastAsia="宋体" w:cs="Times New Roman"/>
          <w:szCs w:val="21"/>
        </w:rPr>
        <w:t>　　|Δ</w:t>
      </w:r>
      <w:r>
        <w:rPr>
          <w:rFonts w:ascii="Times New Roman" w:hAnsi="Times New Roman" w:eastAsia="宋体" w:cs="Times New Roman"/>
          <w:i/>
          <w:szCs w:val="21"/>
        </w:rPr>
        <w:t>H</w:t>
      </w:r>
      <w:r>
        <w:rPr>
          <w:rFonts w:ascii="Times New Roman" w:hAnsi="Times New Roman" w:eastAsia="宋体" w:cs="Times New Roman"/>
          <w:szCs w:val="21"/>
        </w:rPr>
        <w:t>|</w:t>
      </w:r>
    </w:p>
    <w:p w14:paraId="692C087D">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i/>
          <w:szCs w:val="21"/>
        </w:rPr>
        <w:t>n</w:t>
      </w:r>
      <w:r>
        <w:rPr>
          <w:rFonts w:ascii="Times New Roman" w:hAnsi="Times New Roman" w:eastAsia="宋体" w:cs="Times New Roman"/>
          <w:szCs w:val="21"/>
        </w:rPr>
        <w:t>(A)　　</w:t>
      </w:r>
      <w:r>
        <w:rPr>
          <w:rFonts w:ascii="Times New Roman" w:hAnsi="Times New Roman" w:eastAsia="宋体" w:cs="Times New Roman"/>
          <w:i/>
          <w:szCs w:val="21"/>
        </w:rPr>
        <w:t>n</w:t>
      </w:r>
      <w:r>
        <w:rPr>
          <w:rFonts w:ascii="Times New Roman" w:hAnsi="Times New Roman" w:eastAsia="宋体" w:cs="Times New Roman"/>
          <w:szCs w:val="21"/>
        </w:rPr>
        <w:t>(B)　　</w:t>
      </w:r>
      <w:r>
        <w:rPr>
          <w:rFonts w:ascii="Times New Roman" w:hAnsi="Times New Roman" w:eastAsia="宋体" w:cs="Times New Roman"/>
          <w:i/>
          <w:szCs w:val="21"/>
        </w:rPr>
        <w:t>n</w:t>
      </w:r>
      <w:r>
        <w:rPr>
          <w:rFonts w:ascii="Times New Roman" w:hAnsi="Times New Roman" w:eastAsia="宋体" w:cs="Times New Roman"/>
          <w:szCs w:val="21"/>
        </w:rPr>
        <w:t>(C)　</w:t>
      </w:r>
      <w:r>
        <w:rPr>
          <w:rFonts w:ascii="Times New Roman" w:hAnsi="Times New Roman" w:eastAsia="宋体" w:cs="Times New Roman"/>
          <w:i/>
          <w:szCs w:val="21"/>
        </w:rPr>
        <w:t>n</w:t>
      </w:r>
      <w:r>
        <w:rPr>
          <w:rFonts w:ascii="Times New Roman" w:hAnsi="Times New Roman" w:eastAsia="宋体" w:cs="Times New Roman"/>
          <w:szCs w:val="21"/>
        </w:rPr>
        <w:t>(D)　　</w:t>
      </w:r>
      <w:r>
        <w:rPr>
          <w:rFonts w:ascii="Times New Roman" w:hAnsi="Times New Roman" w:eastAsia="宋体" w:cs="Times New Roman"/>
          <w:i/>
          <w:szCs w:val="21"/>
        </w:rPr>
        <w:t>Q</w:t>
      </w:r>
    </w:p>
    <w:p w14:paraId="594E8D6F">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则</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A</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a</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B</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b</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C</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c</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D</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d</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Q</w:instrText>
      </w:r>
      <w:r>
        <w:rPr>
          <w:rFonts w:ascii="Times New Roman" w:hAnsi="Times New Roman" w:eastAsia="宋体" w:cs="Times New Roman"/>
          <w:szCs w:val="21"/>
        </w:rPr>
        <w:instrText xml:space="preserve">,|Δ</w:instrText>
      </w:r>
      <w:r>
        <w:rPr>
          <w:rFonts w:ascii="Times New Roman" w:hAnsi="Times New Roman" w:eastAsia="宋体" w:cs="Times New Roman"/>
          <w:i/>
          <w:szCs w:val="21"/>
        </w:rPr>
        <w:instrText xml:space="preserve">H</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p>
    <w:p w14:paraId="3594B5FD">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2. 用盖斯定律计算反应热</w:t>
      </w:r>
    </w:p>
    <w:p w14:paraId="25167C82">
      <w:pPr>
        <w:spacing w:line="288" w:lineRule="auto"/>
        <w:rPr>
          <w:rFonts w:ascii="Times New Roman" w:hAnsi="Times New Roman" w:eastAsia="宋体" w:cs="Times New Roman"/>
          <w:szCs w:val="21"/>
        </w:rPr>
      </w:pPr>
      <w:r>
        <w:rPr>
          <w:rFonts w:ascii="Times New Roman" w:hAnsi="Times New Roman" w:eastAsia="宋体" w:cs="Times New Roman"/>
          <w:szCs w:val="21"/>
        </w:rPr>
        <w:t>3. 用键能计算反应热</w:t>
      </w:r>
    </w:p>
    <w:p w14:paraId="6AB359A5">
      <w:pPr>
        <w:tabs>
          <w:tab w:val="left" w:pos="4186"/>
        </w:tabs>
        <w:snapToGrid w:val="0"/>
        <w:spacing w:line="360" w:lineRule="auto"/>
        <w:ind w:firstLine="210" w:firstLineChars="100"/>
        <w:textAlignment w:val="center"/>
        <w:rPr>
          <w:rFonts w:ascii="Times New Roman" w:hAnsi="Times New Roman" w:eastAsia="宋体" w:cs="Times New Roman"/>
          <w:color w:val="000000"/>
          <w:szCs w:val="21"/>
          <w14:ligatures w14:val="none"/>
        </w:rPr>
      </w:pPr>
      <w:r>
        <w:rPr>
          <w:rFonts w:ascii="Times New Roman" w:hAnsi="Times New Roman" w:eastAsia="宋体" w:cs="Times New Roman"/>
          <w:color w:val="000000"/>
          <w:szCs w:val="21"/>
          <w14:ligatures w14:val="none"/>
        </w:rPr>
        <w:t>反应热Δ</w:t>
      </w:r>
      <w:r>
        <w:rPr>
          <w:rFonts w:ascii="Times New Roman" w:hAnsi="Times New Roman" w:eastAsia="宋体" w:cs="Times New Roman"/>
          <w:i/>
          <w:color w:val="000000"/>
          <w:szCs w:val="21"/>
          <w14:ligatures w14:val="none"/>
        </w:rPr>
        <w:t>H</w:t>
      </w:r>
      <w:r>
        <w:rPr>
          <w:rFonts w:ascii="Times New Roman" w:hAnsi="Times New Roman" w:eastAsia="宋体" w:cs="Times New Roman"/>
          <w:color w:val="000000"/>
          <w:szCs w:val="21"/>
          <w14:ligatures w14:val="none"/>
        </w:rPr>
        <w:t>的计算公式:Δ</w:t>
      </w:r>
      <w:r>
        <w:rPr>
          <w:rFonts w:ascii="Times New Roman" w:hAnsi="Times New Roman" w:eastAsia="宋体" w:cs="Times New Roman"/>
          <w:i/>
          <w:color w:val="000000"/>
          <w:szCs w:val="21"/>
          <w14:ligatures w14:val="none"/>
        </w:rPr>
        <w:t>H</w:t>
      </w:r>
      <w:r>
        <w:rPr>
          <w:rFonts w:ascii="Times New Roman" w:hAnsi="Times New Roman" w:eastAsia="宋体" w:cs="Times New Roman"/>
          <w:color w:val="000000"/>
          <w:szCs w:val="21"/>
          <w14:ligatures w14:val="none"/>
        </w:rPr>
        <w:t>＝</w:t>
      </w:r>
      <w:r>
        <w:rPr>
          <w:rFonts w:ascii="Times New Roman" w:hAnsi="Times New Roman" w:eastAsia="宋体" w:cs="Times New Roman"/>
          <w:i/>
          <w:color w:val="000000"/>
          <w:szCs w:val="21"/>
          <w14:ligatures w14:val="none"/>
        </w:rPr>
        <w:t>E</w:t>
      </w:r>
      <w:r>
        <w:rPr>
          <w:rFonts w:ascii="Times New Roman" w:hAnsi="Times New Roman" w:eastAsia="宋体" w:cs="Times New Roman"/>
          <w:color w:val="000000"/>
          <w:szCs w:val="21"/>
          <w14:ligatures w14:val="none"/>
        </w:rPr>
        <w:t>(</w:t>
      </w:r>
      <w:r>
        <w:rPr>
          <w:rFonts w:ascii="Times New Roman" w:hAnsi="Times New Roman" w:eastAsia="宋体" w:cs="Times New Roman"/>
          <w:color w:val="91ACE0"/>
          <w:szCs w:val="21"/>
          <w:u w:val="thick"/>
          <w14:ligatures w14:val="none"/>
        </w:rPr>
        <w:t>反应物</w:t>
      </w:r>
      <w:r>
        <w:rPr>
          <w:rFonts w:ascii="Times New Roman" w:hAnsi="Times New Roman" w:eastAsia="宋体" w:cs="Times New Roman"/>
          <w:color w:val="000000"/>
          <w:szCs w:val="21"/>
          <w14:ligatures w14:val="none"/>
        </w:rPr>
        <w:t>的总键能之和)－</w:t>
      </w:r>
      <w:r>
        <w:rPr>
          <w:rFonts w:ascii="Times New Roman" w:hAnsi="Times New Roman" w:eastAsia="宋体" w:cs="Times New Roman"/>
          <w:i/>
          <w:color w:val="000000"/>
          <w:szCs w:val="21"/>
          <w14:ligatures w14:val="none"/>
        </w:rPr>
        <w:t>E</w:t>
      </w:r>
      <w:r>
        <w:rPr>
          <w:rFonts w:ascii="Times New Roman" w:hAnsi="Times New Roman" w:eastAsia="宋体" w:cs="Times New Roman"/>
          <w:color w:val="000000"/>
          <w:szCs w:val="21"/>
          <w14:ligatures w14:val="none"/>
        </w:rPr>
        <w:t>(</w:t>
      </w:r>
      <w:r>
        <w:rPr>
          <w:rFonts w:ascii="Times New Roman" w:hAnsi="Times New Roman" w:eastAsia="宋体" w:cs="Times New Roman"/>
          <w:color w:val="91ACE0"/>
          <w:szCs w:val="21"/>
          <w:u w:val="thick"/>
          <w14:ligatures w14:val="none"/>
        </w:rPr>
        <w:t>生成物</w:t>
      </w:r>
      <w:r>
        <w:rPr>
          <w:rFonts w:ascii="Times New Roman" w:hAnsi="Times New Roman" w:eastAsia="宋体" w:cs="Times New Roman"/>
          <w:color w:val="000000"/>
          <w:szCs w:val="21"/>
          <w14:ligatures w14:val="none"/>
        </w:rPr>
        <w:t>的总键能之和)</w:t>
      </w:r>
    </w:p>
    <w:p w14:paraId="7D8307A6">
      <w:pPr>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利用键能计算反应热的关键，就是要算清物质中化学键的种类和数目。</w:t>
      </w:r>
    </w:p>
    <w:p w14:paraId="26C95D0C">
      <w:pPr>
        <w:tabs>
          <w:tab w:val="left" w:pos="4186"/>
        </w:tabs>
        <w:snapToGrid w:val="0"/>
        <w:spacing w:line="360" w:lineRule="auto"/>
        <w:textAlignment w:val="center"/>
        <w:rPr>
          <w:rFonts w:ascii="Times New Roman" w:hAnsi="Times New Roman" w:eastAsia="宋体" w:cs="Times New Roman"/>
          <w:color w:val="000000"/>
          <w:szCs w:val="21"/>
          <w14:ligatures w14:val="none"/>
        </w:rPr>
      </w:pPr>
      <w:r>
        <w:rPr>
          <w:rFonts w:ascii="Times New Roman" w:hAnsi="Times New Roman" w:eastAsia="宋体" w:cs="Times New Roman"/>
          <w:color w:val="000000"/>
          <w:szCs w:val="21"/>
          <w14:ligatures w14:val="none"/>
        </w:rPr>
        <w:t>注意特殊物质中键数的判断：</w:t>
      </w:r>
    </w:p>
    <w:tbl>
      <w:tblPr>
        <w:tblStyle w:val="15"/>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1036"/>
        <w:gridCol w:w="1294"/>
        <w:gridCol w:w="1050"/>
        <w:gridCol w:w="1120"/>
        <w:gridCol w:w="923"/>
        <w:gridCol w:w="923"/>
        <w:gridCol w:w="923"/>
      </w:tblGrid>
      <w:tr w14:paraId="1067A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666" w:type="dxa"/>
            <w:shd w:val="clear" w:color="auto" w:fill="auto"/>
            <w:vAlign w:val="center"/>
          </w:tcPr>
          <w:p w14:paraId="16036503">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物质(1 mol)</w:t>
            </w:r>
          </w:p>
        </w:tc>
        <w:tc>
          <w:tcPr>
            <w:tcW w:w="1036" w:type="dxa"/>
            <w:shd w:val="clear" w:color="auto" w:fill="auto"/>
            <w:vAlign w:val="center"/>
          </w:tcPr>
          <w:p w14:paraId="1B46DACA">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P</w:t>
            </w:r>
            <w:r>
              <w:rPr>
                <w:rFonts w:ascii="Times New Roman" w:hAnsi="Times New Roman" w:eastAsia="宋体" w:cs="Times New Roman"/>
                <w:szCs w:val="21"/>
                <w:vertAlign w:val="subscript"/>
                <w14:ligatures w14:val="none"/>
              </w:rPr>
              <w:t>4</w:t>
            </w:r>
          </w:p>
        </w:tc>
        <w:tc>
          <w:tcPr>
            <w:tcW w:w="1294" w:type="dxa"/>
            <w:shd w:val="clear" w:color="auto" w:fill="auto"/>
            <w:vAlign w:val="center"/>
          </w:tcPr>
          <w:p w14:paraId="084441CA">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C(金刚石)</w:t>
            </w:r>
          </w:p>
        </w:tc>
        <w:tc>
          <w:tcPr>
            <w:tcW w:w="1050" w:type="dxa"/>
            <w:shd w:val="clear" w:color="auto" w:fill="auto"/>
            <w:vAlign w:val="center"/>
          </w:tcPr>
          <w:p w14:paraId="3D9CA405">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石墨</w:t>
            </w:r>
          </w:p>
        </w:tc>
        <w:tc>
          <w:tcPr>
            <w:tcW w:w="1120" w:type="dxa"/>
            <w:shd w:val="clear" w:color="auto" w:fill="auto"/>
            <w:vAlign w:val="center"/>
          </w:tcPr>
          <w:p w14:paraId="3D4D3227">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w:t>
            </w:r>
          </w:p>
        </w:tc>
        <w:tc>
          <w:tcPr>
            <w:tcW w:w="923" w:type="dxa"/>
            <w:shd w:val="clear" w:color="auto" w:fill="auto"/>
            <w:vAlign w:val="center"/>
          </w:tcPr>
          <w:p w14:paraId="5589CFF1">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SiO</w:t>
            </w:r>
            <w:r>
              <w:rPr>
                <w:rFonts w:ascii="Times New Roman" w:hAnsi="Times New Roman" w:eastAsia="宋体" w:cs="Times New Roman"/>
                <w:szCs w:val="21"/>
                <w:vertAlign w:val="subscript"/>
                <w14:ligatures w14:val="none"/>
              </w:rPr>
              <w:t>2</w:t>
            </w:r>
          </w:p>
        </w:tc>
        <w:tc>
          <w:tcPr>
            <w:tcW w:w="923" w:type="dxa"/>
            <w:shd w:val="clear" w:color="auto" w:fill="auto"/>
            <w:vAlign w:val="center"/>
          </w:tcPr>
          <w:p w14:paraId="22FB3F39">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CO</w:t>
            </w:r>
            <w:r>
              <w:rPr>
                <w:rFonts w:ascii="Times New Roman" w:hAnsi="Times New Roman" w:eastAsia="宋体" w:cs="Times New Roman"/>
                <w:szCs w:val="21"/>
                <w:vertAlign w:val="subscript"/>
                <w14:ligatures w14:val="none"/>
              </w:rPr>
              <w:t>2</w:t>
            </w:r>
          </w:p>
        </w:tc>
        <w:tc>
          <w:tcPr>
            <w:tcW w:w="923" w:type="dxa"/>
            <w:shd w:val="clear" w:color="auto" w:fill="auto"/>
            <w:vAlign w:val="center"/>
          </w:tcPr>
          <w:p w14:paraId="1BB52C0D">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CH</w:t>
            </w:r>
            <w:r>
              <w:rPr>
                <w:rFonts w:ascii="Times New Roman" w:hAnsi="Times New Roman" w:eastAsia="宋体" w:cs="Times New Roman"/>
                <w:szCs w:val="21"/>
                <w:vertAlign w:val="subscript"/>
                <w14:ligatures w14:val="none"/>
              </w:rPr>
              <w:t>4</w:t>
            </w:r>
          </w:p>
        </w:tc>
      </w:tr>
      <w:tr w14:paraId="247F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66" w:type="dxa"/>
            <w:shd w:val="clear" w:color="auto" w:fill="auto"/>
            <w:vAlign w:val="center"/>
          </w:tcPr>
          <w:p w14:paraId="737E47EB">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化学键</w:t>
            </w:r>
          </w:p>
        </w:tc>
        <w:tc>
          <w:tcPr>
            <w:tcW w:w="1036" w:type="dxa"/>
            <w:shd w:val="clear" w:color="auto" w:fill="auto"/>
            <w:vAlign w:val="center"/>
          </w:tcPr>
          <w:p w14:paraId="4E9A06EB">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P—P</w:t>
            </w:r>
          </w:p>
        </w:tc>
        <w:tc>
          <w:tcPr>
            <w:tcW w:w="1294" w:type="dxa"/>
            <w:shd w:val="clear" w:color="auto" w:fill="auto"/>
            <w:vAlign w:val="center"/>
          </w:tcPr>
          <w:p w14:paraId="06084BA7">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C—C</w:t>
            </w:r>
          </w:p>
        </w:tc>
        <w:tc>
          <w:tcPr>
            <w:tcW w:w="1050" w:type="dxa"/>
            <w:shd w:val="clear" w:color="auto" w:fill="auto"/>
            <w:vAlign w:val="center"/>
          </w:tcPr>
          <w:p w14:paraId="074AF6D3">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C—C</w:t>
            </w:r>
          </w:p>
        </w:tc>
        <w:tc>
          <w:tcPr>
            <w:tcW w:w="1120" w:type="dxa"/>
            <w:shd w:val="clear" w:color="auto" w:fill="auto"/>
            <w:vAlign w:val="center"/>
          </w:tcPr>
          <w:p w14:paraId="61EBB61F">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Si—Si</w:t>
            </w:r>
          </w:p>
        </w:tc>
        <w:tc>
          <w:tcPr>
            <w:tcW w:w="923" w:type="dxa"/>
            <w:shd w:val="clear" w:color="auto" w:fill="auto"/>
            <w:vAlign w:val="center"/>
          </w:tcPr>
          <w:p w14:paraId="2AB6A951">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Si—O</w:t>
            </w:r>
          </w:p>
        </w:tc>
        <w:tc>
          <w:tcPr>
            <w:tcW w:w="923" w:type="dxa"/>
            <w:shd w:val="clear" w:color="auto" w:fill="auto"/>
            <w:vAlign w:val="center"/>
          </w:tcPr>
          <w:p w14:paraId="3C8A4B0A">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w:t>
            </w:r>
            <w:r>
              <w:rPr>
                <w:rFonts w:ascii="Times New Roman" w:hAnsi="Times New Roman" w:eastAsia="宋体" w:cs="Times New Roman"/>
                <w:spacing w:val="-16"/>
                <w:szCs w:val="21"/>
                <w14:ligatures w14:val="none"/>
              </w:rPr>
              <w:t>=</w:t>
            </w:r>
            <w:r>
              <w:rPr>
                <w:rFonts w:ascii="Times New Roman" w:hAnsi="Times New Roman" w:eastAsia="宋体" w:cs="Times New Roman"/>
                <w:szCs w:val="21"/>
                <w14:ligatures w14:val="none"/>
              </w:rPr>
              <w:t>=O</w:t>
            </w:r>
          </w:p>
        </w:tc>
        <w:tc>
          <w:tcPr>
            <w:tcW w:w="923" w:type="dxa"/>
            <w:shd w:val="clear" w:color="auto" w:fill="auto"/>
            <w:vAlign w:val="center"/>
          </w:tcPr>
          <w:p w14:paraId="206D8478">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C—H</w:t>
            </w:r>
          </w:p>
        </w:tc>
      </w:tr>
      <w:tr w14:paraId="5C3CB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666" w:type="dxa"/>
            <w:shd w:val="clear" w:color="auto" w:fill="auto"/>
            <w:vAlign w:val="center"/>
          </w:tcPr>
          <w:p w14:paraId="51492812">
            <w:pPr>
              <w:tabs>
                <w:tab w:val="left" w:pos="4186"/>
              </w:tabs>
              <w:snapToGrid w:val="0"/>
              <w:spacing w:line="360" w:lineRule="auto"/>
              <w:jc w:val="center"/>
              <w:textAlignment w:val="center"/>
              <w:rPr>
                <w:rFonts w:ascii="Times New Roman" w:hAnsi="Times New Roman" w:eastAsia="宋体" w:cs="Times New Roman"/>
                <w:color w:val="0E16F8"/>
                <w:szCs w:val="21"/>
                <w14:ligatures w14:val="none"/>
              </w:rPr>
            </w:pPr>
            <w:r>
              <w:rPr>
                <w:rFonts w:ascii="Times New Roman" w:hAnsi="Times New Roman" w:eastAsia="宋体" w:cs="Times New Roman"/>
                <w:szCs w:val="21"/>
                <w14:ligatures w14:val="none"/>
              </w:rPr>
              <w:t>键数(mol)</w:t>
            </w:r>
          </w:p>
        </w:tc>
        <w:tc>
          <w:tcPr>
            <w:tcW w:w="1036" w:type="dxa"/>
            <w:shd w:val="clear" w:color="auto" w:fill="auto"/>
            <w:vAlign w:val="center"/>
          </w:tcPr>
          <w:p w14:paraId="7E9317D2">
            <w:pPr>
              <w:tabs>
                <w:tab w:val="left" w:pos="4186"/>
              </w:tabs>
              <w:snapToGrid w:val="0"/>
              <w:spacing w:line="360" w:lineRule="auto"/>
              <w:jc w:val="center"/>
              <w:textAlignment w:val="center"/>
              <w:rPr>
                <w:rFonts w:ascii="Times New Roman" w:hAnsi="Times New Roman" w:eastAsia="宋体" w:cs="Times New Roman"/>
                <w:color w:val="0E16F8"/>
                <w:szCs w:val="21"/>
                <w14:ligatures w14:val="none"/>
              </w:rPr>
            </w:pPr>
            <w:r>
              <w:rPr>
                <w:rFonts w:ascii="Times New Roman" w:hAnsi="Times New Roman" w:eastAsia="宋体" w:cs="Times New Roman"/>
                <w:color w:val="91ACE0"/>
                <w:szCs w:val="21"/>
                <w:u w:val="thick"/>
                <w14:ligatures w14:val="none"/>
              </w:rPr>
              <w:t>6</w:t>
            </w:r>
          </w:p>
        </w:tc>
        <w:tc>
          <w:tcPr>
            <w:tcW w:w="1294" w:type="dxa"/>
            <w:shd w:val="clear" w:color="auto" w:fill="auto"/>
            <w:vAlign w:val="center"/>
          </w:tcPr>
          <w:p w14:paraId="6C05D8F5">
            <w:pPr>
              <w:tabs>
                <w:tab w:val="left" w:pos="4186"/>
              </w:tabs>
              <w:snapToGrid w:val="0"/>
              <w:spacing w:line="360" w:lineRule="auto"/>
              <w:jc w:val="center"/>
              <w:textAlignment w:val="center"/>
              <w:rPr>
                <w:rFonts w:ascii="Times New Roman" w:hAnsi="Times New Roman" w:eastAsia="宋体" w:cs="Times New Roman"/>
                <w:color w:val="0E16F8"/>
                <w:szCs w:val="21"/>
                <w14:ligatures w14:val="none"/>
              </w:rPr>
            </w:pPr>
            <w:r>
              <w:rPr>
                <w:rFonts w:ascii="Times New Roman" w:hAnsi="Times New Roman" w:eastAsia="宋体" w:cs="Times New Roman"/>
                <w:color w:val="91ACE0"/>
                <w:szCs w:val="21"/>
                <w:u w:val="thick"/>
                <w14:ligatures w14:val="none"/>
              </w:rPr>
              <w:t>2</w:t>
            </w:r>
          </w:p>
        </w:tc>
        <w:tc>
          <w:tcPr>
            <w:tcW w:w="1050" w:type="dxa"/>
            <w:shd w:val="clear" w:color="auto" w:fill="auto"/>
            <w:vAlign w:val="center"/>
          </w:tcPr>
          <w:p w14:paraId="37613101">
            <w:pPr>
              <w:tabs>
                <w:tab w:val="left" w:pos="4186"/>
              </w:tabs>
              <w:snapToGrid w:val="0"/>
              <w:spacing w:line="360" w:lineRule="auto"/>
              <w:jc w:val="center"/>
              <w:textAlignment w:val="center"/>
              <w:rPr>
                <w:rFonts w:ascii="Times New Roman" w:hAnsi="Times New Roman" w:eastAsia="宋体" w:cs="Times New Roman"/>
                <w:color w:val="0E16F8"/>
                <w:szCs w:val="21"/>
                <w14:ligatures w14:val="none"/>
              </w:rPr>
            </w:pPr>
            <w:r>
              <w:rPr>
                <w:rFonts w:ascii="Times New Roman" w:hAnsi="Times New Roman" w:eastAsia="宋体" w:cs="Times New Roman"/>
                <w:color w:val="91ACE0"/>
                <w:szCs w:val="21"/>
                <w:u w:val="thick"/>
                <w14:ligatures w14:val="none"/>
              </w:rPr>
              <w:t>1.5</w:t>
            </w:r>
          </w:p>
        </w:tc>
        <w:tc>
          <w:tcPr>
            <w:tcW w:w="1120" w:type="dxa"/>
            <w:shd w:val="clear" w:color="auto" w:fill="auto"/>
            <w:vAlign w:val="center"/>
          </w:tcPr>
          <w:p w14:paraId="26A1D2E6">
            <w:pPr>
              <w:tabs>
                <w:tab w:val="left" w:pos="4186"/>
              </w:tabs>
              <w:snapToGrid w:val="0"/>
              <w:spacing w:line="360" w:lineRule="auto"/>
              <w:jc w:val="center"/>
              <w:textAlignment w:val="center"/>
              <w:rPr>
                <w:rFonts w:ascii="Times New Roman" w:hAnsi="Times New Roman" w:eastAsia="宋体" w:cs="Times New Roman"/>
                <w:color w:val="FF0000"/>
                <w:szCs w:val="21"/>
                <w:u w:val="single"/>
                <w14:ligatures w14:val="none"/>
              </w:rPr>
            </w:pPr>
            <w:r>
              <w:rPr>
                <w:rFonts w:ascii="Times New Roman" w:hAnsi="Times New Roman" w:eastAsia="宋体" w:cs="Times New Roman"/>
                <w:color w:val="91ACE0"/>
                <w:szCs w:val="21"/>
                <w:u w:val="thick"/>
                <w14:ligatures w14:val="none"/>
              </w:rPr>
              <w:t>2</w:t>
            </w:r>
          </w:p>
        </w:tc>
        <w:tc>
          <w:tcPr>
            <w:tcW w:w="923" w:type="dxa"/>
            <w:shd w:val="clear" w:color="auto" w:fill="auto"/>
            <w:vAlign w:val="center"/>
          </w:tcPr>
          <w:p w14:paraId="29248BBC">
            <w:pPr>
              <w:tabs>
                <w:tab w:val="left" w:pos="4186"/>
              </w:tabs>
              <w:snapToGrid w:val="0"/>
              <w:spacing w:line="360" w:lineRule="auto"/>
              <w:jc w:val="center"/>
              <w:textAlignment w:val="center"/>
              <w:rPr>
                <w:rFonts w:ascii="Times New Roman" w:hAnsi="Times New Roman" w:eastAsia="宋体" w:cs="Times New Roman"/>
                <w:color w:val="FF0000"/>
                <w:szCs w:val="21"/>
                <w:u w:val="single"/>
                <w14:ligatures w14:val="none"/>
              </w:rPr>
            </w:pPr>
            <w:r>
              <w:rPr>
                <w:rFonts w:ascii="Times New Roman" w:hAnsi="Times New Roman" w:eastAsia="宋体" w:cs="Times New Roman"/>
                <w:color w:val="91ACE0"/>
                <w:szCs w:val="21"/>
                <w:u w:val="thick"/>
                <w14:ligatures w14:val="none"/>
              </w:rPr>
              <w:t>4</w:t>
            </w:r>
          </w:p>
        </w:tc>
        <w:tc>
          <w:tcPr>
            <w:tcW w:w="923" w:type="dxa"/>
            <w:shd w:val="clear" w:color="auto" w:fill="auto"/>
            <w:vAlign w:val="center"/>
          </w:tcPr>
          <w:p w14:paraId="7A117E64">
            <w:pPr>
              <w:tabs>
                <w:tab w:val="left" w:pos="4186"/>
              </w:tabs>
              <w:snapToGrid w:val="0"/>
              <w:spacing w:line="360" w:lineRule="auto"/>
              <w:jc w:val="center"/>
              <w:textAlignment w:val="center"/>
              <w:rPr>
                <w:rFonts w:ascii="Times New Roman" w:hAnsi="Times New Roman" w:eastAsia="宋体" w:cs="Times New Roman"/>
                <w:color w:val="FF0000"/>
                <w:szCs w:val="21"/>
                <w:u w:val="single"/>
                <w14:ligatures w14:val="none"/>
              </w:rPr>
            </w:pPr>
            <w:r>
              <w:rPr>
                <w:rFonts w:ascii="Times New Roman" w:hAnsi="Times New Roman" w:eastAsia="宋体" w:cs="Times New Roman"/>
                <w:color w:val="91ACE0"/>
                <w:szCs w:val="21"/>
                <w:u w:val="thick"/>
                <w14:ligatures w14:val="none"/>
              </w:rPr>
              <w:t>2</w:t>
            </w:r>
          </w:p>
        </w:tc>
        <w:tc>
          <w:tcPr>
            <w:tcW w:w="923" w:type="dxa"/>
            <w:shd w:val="clear" w:color="auto" w:fill="auto"/>
            <w:vAlign w:val="center"/>
          </w:tcPr>
          <w:p w14:paraId="0C2AAD08">
            <w:pPr>
              <w:tabs>
                <w:tab w:val="left" w:pos="4186"/>
              </w:tabs>
              <w:snapToGrid w:val="0"/>
              <w:spacing w:line="360" w:lineRule="auto"/>
              <w:jc w:val="center"/>
              <w:textAlignment w:val="center"/>
              <w:rPr>
                <w:rFonts w:ascii="Times New Roman" w:hAnsi="Times New Roman" w:eastAsia="宋体" w:cs="Times New Roman"/>
                <w:color w:val="FF0000"/>
                <w:szCs w:val="21"/>
                <w:u w:val="single"/>
                <w14:ligatures w14:val="none"/>
              </w:rPr>
            </w:pPr>
            <w:r>
              <w:rPr>
                <w:rFonts w:ascii="Times New Roman" w:hAnsi="Times New Roman" w:eastAsia="宋体" w:cs="Times New Roman"/>
                <w:color w:val="91ACE0"/>
                <w:szCs w:val="21"/>
                <w:u w:val="thick"/>
                <w14:ligatures w14:val="none"/>
              </w:rPr>
              <w:t>4</w:t>
            </w:r>
          </w:p>
        </w:tc>
      </w:tr>
    </w:tbl>
    <w:p w14:paraId="1F8CFB09">
      <w:pPr>
        <w:spacing w:line="288" w:lineRule="auto"/>
        <w:rPr>
          <w:rFonts w:ascii="Times New Roman" w:hAnsi="Times New Roman" w:eastAsia="宋体" w:cs="Times New Roman"/>
          <w:szCs w:val="21"/>
        </w:rPr>
      </w:pPr>
      <w:r>
        <w:rPr>
          <w:rFonts w:ascii="Times New Roman" w:hAnsi="Times New Roman" w:eastAsia="宋体" w:cs="Times New Roman"/>
          <w:szCs w:val="21"/>
        </w:rPr>
        <w:t>4. 用反应物和生成物的总能量计算反应热</w:t>
      </w:r>
    </w:p>
    <w:p w14:paraId="7E875E0F">
      <w:pPr>
        <w:spacing w:line="288" w:lineRule="auto"/>
        <w:rPr>
          <w:rFonts w:ascii="Times New Roman" w:hAnsi="Times New Roman" w:eastAsia="宋体" w:cs="Times New Roman"/>
          <w:color w:val="91ACE0"/>
          <w:szCs w:val="21"/>
          <w:u w:val="thick"/>
        </w:rPr>
      </w:pPr>
      <w:r>
        <w:rPr>
          <w:rFonts w:ascii="Times New Roman" w:hAnsi="Times New Roman" w:eastAsia="宋体" w:cs="Times New Roman"/>
          <w:szCs w:val="21"/>
        </w:rPr>
        <w:t>反应热Δ</w:t>
      </w:r>
      <w:r>
        <w:rPr>
          <w:rFonts w:ascii="Times New Roman" w:hAnsi="Times New Roman" w:eastAsia="宋体" w:cs="Times New Roman"/>
          <w:i/>
          <w:szCs w:val="21"/>
        </w:rPr>
        <w:t>H</w:t>
      </w:r>
      <w:r>
        <w:rPr>
          <w:rFonts w:ascii="Times New Roman" w:hAnsi="Times New Roman" w:eastAsia="宋体" w:cs="Times New Roman"/>
          <w:szCs w:val="21"/>
        </w:rPr>
        <w:t>的计算公式:</w:t>
      </w:r>
      <w:r>
        <w:rPr>
          <w:rFonts w:ascii="Times New Roman" w:hAnsi="Times New Roman" w:eastAsia="宋体" w:cs="Times New Roman"/>
          <w:color w:val="91ACE0"/>
          <w:szCs w:val="21"/>
          <w:u w:val="thick"/>
        </w:rPr>
        <w:t>ΔH＝生成物的总能量 - 反应物的总能量</w:t>
      </w:r>
    </w:p>
    <w:p w14:paraId="2A3064D4">
      <w:pPr>
        <w:spacing w:line="288" w:lineRule="auto"/>
        <w:rPr>
          <w:rFonts w:ascii="Times New Roman" w:hAnsi="Times New Roman" w:eastAsia="宋体" w:cs="Times New Roman"/>
          <w:color w:val="91ACE0"/>
          <w:szCs w:val="21"/>
          <w:u w:val="thick"/>
          <w:vertAlign w:val="superscript"/>
        </w:rPr>
      </w:pPr>
      <w:r>
        <w:rPr>
          <w:rFonts w:ascii="Times New Roman" w:hAnsi="Times New Roman" w:eastAsia="宋体" w:cs="Times New Roman"/>
          <w:szCs w:val="21"/>
        </w:rPr>
        <w:drawing>
          <wp:inline distT="0" distB="0" distL="114300" distR="114300">
            <wp:extent cx="1209040" cy="911225"/>
            <wp:effectExtent l="0" t="0" r="10160" b="3175"/>
            <wp:docPr id="6" name="图片 -214748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47482624"/>
                    <pic:cNvPicPr>
                      <a:picLocks noChangeAspect="1"/>
                    </pic:cNvPicPr>
                  </pic:nvPicPr>
                  <pic:blipFill>
                    <a:blip r:embed="rId6" r:link="rId7"/>
                    <a:stretch>
                      <a:fillRect/>
                    </a:stretch>
                  </pic:blipFill>
                  <pic:spPr>
                    <a:xfrm>
                      <a:off x="0" y="0"/>
                      <a:ext cx="1209040" cy="911225"/>
                    </a:xfrm>
                    <a:prstGeom prst="rect">
                      <a:avLst/>
                    </a:prstGeom>
                    <a:noFill/>
                    <a:ln w="9525">
                      <a:noFill/>
                    </a:ln>
                  </pic:spPr>
                </pic:pic>
              </a:graphicData>
            </a:graphic>
          </wp:inline>
        </w:drawing>
      </w:r>
      <w:r>
        <w:rPr>
          <w:rFonts w:ascii="Times New Roman" w:hAnsi="Times New Roman" w:eastAsia="宋体" w:cs="Times New Roman"/>
          <w:color w:val="91ACE0"/>
          <w:szCs w:val="21"/>
          <w:u w:val="thick"/>
        </w:rPr>
        <w:t xml:space="preserve"> ΔH＝(a－b)kJ·mol</w:t>
      </w:r>
      <w:r>
        <w:rPr>
          <w:rFonts w:ascii="Times New Roman" w:hAnsi="Times New Roman" w:eastAsia="宋体" w:cs="Times New Roman"/>
          <w:color w:val="91ACE0"/>
          <w:szCs w:val="21"/>
          <w:u w:val="thick"/>
          <w:vertAlign w:val="superscript"/>
        </w:rPr>
        <w:t>－1</w:t>
      </w:r>
      <w:r>
        <w:rPr>
          <w:rFonts w:ascii="Times New Roman" w:hAnsi="Times New Roman" w:eastAsia="宋体" w:cs="Times New Roman"/>
          <w:color w:val="91ACE0"/>
          <w:szCs w:val="21"/>
          <w:u w:val="thick"/>
        </w:rPr>
        <w:t>＝－c  kJ·mol</w:t>
      </w:r>
      <w:r>
        <w:rPr>
          <w:rFonts w:ascii="Times New Roman" w:hAnsi="Times New Roman" w:eastAsia="宋体" w:cs="Times New Roman"/>
          <w:color w:val="91ACE0"/>
          <w:szCs w:val="21"/>
          <w:u w:val="thick"/>
          <w:vertAlign w:val="superscript"/>
        </w:rPr>
        <w:t>－1</w:t>
      </w:r>
    </w:p>
    <w:p w14:paraId="1D98EAC4">
      <w:pPr>
        <w:spacing w:line="288" w:lineRule="auto"/>
        <w:rPr>
          <w:rFonts w:ascii="Times New Roman" w:hAnsi="Times New Roman" w:eastAsia="宋体" w:cs="Times New Roman"/>
          <w:color w:val="91ACE0"/>
          <w:szCs w:val="21"/>
          <w:u w:val="thick"/>
          <w:vertAlign w:val="superscript"/>
        </w:rPr>
      </w:pPr>
      <w:r>
        <w:rPr>
          <w:rFonts w:ascii="Times New Roman" w:hAnsi="Times New Roman" w:eastAsia="宋体" w:cs="Times New Roman"/>
          <w:szCs w:val="21"/>
        </w:rPr>
        <w:drawing>
          <wp:inline distT="0" distB="0" distL="114300" distR="114300">
            <wp:extent cx="1098550" cy="931545"/>
            <wp:effectExtent l="0" t="0" r="6350" b="1905"/>
            <wp:docPr id="7" name="图片 -214748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47482623"/>
                    <pic:cNvPicPr>
                      <a:picLocks noChangeAspect="1"/>
                    </pic:cNvPicPr>
                  </pic:nvPicPr>
                  <pic:blipFill>
                    <a:blip r:embed="rId8" r:link="rId7"/>
                    <a:stretch>
                      <a:fillRect/>
                    </a:stretch>
                  </pic:blipFill>
                  <pic:spPr>
                    <a:xfrm>
                      <a:off x="0" y="0"/>
                      <a:ext cx="1098550" cy="931545"/>
                    </a:xfrm>
                    <a:prstGeom prst="rect">
                      <a:avLst/>
                    </a:prstGeom>
                    <a:noFill/>
                    <a:ln w="9525">
                      <a:noFill/>
                    </a:ln>
                  </pic:spPr>
                </pic:pic>
              </a:graphicData>
            </a:graphic>
          </wp:inline>
        </w:drawing>
      </w:r>
      <w:r>
        <w:rPr>
          <w:rFonts w:ascii="Times New Roman" w:hAnsi="Times New Roman" w:eastAsia="宋体" w:cs="Times New Roman"/>
          <w:szCs w:val="21"/>
        </w:rPr>
        <w:t xml:space="preserve">   </w:t>
      </w:r>
      <w:r>
        <w:rPr>
          <w:rFonts w:ascii="Times New Roman" w:hAnsi="Times New Roman" w:eastAsia="宋体" w:cs="Times New Roman"/>
          <w:color w:val="91ACE0"/>
          <w:szCs w:val="21"/>
          <w:u w:val="thick"/>
        </w:rPr>
        <w:t>ΔH＝(a－b)kJ·mol</w:t>
      </w:r>
      <w:r>
        <w:rPr>
          <w:rFonts w:ascii="Times New Roman" w:hAnsi="Times New Roman" w:eastAsia="宋体" w:cs="Times New Roman"/>
          <w:color w:val="91ACE0"/>
          <w:szCs w:val="21"/>
          <w:u w:val="thick"/>
          <w:vertAlign w:val="superscript"/>
        </w:rPr>
        <w:t>－1</w:t>
      </w:r>
      <w:r>
        <w:rPr>
          <w:rFonts w:ascii="Times New Roman" w:hAnsi="Times New Roman" w:eastAsia="宋体" w:cs="Times New Roman"/>
          <w:color w:val="91ACE0"/>
          <w:szCs w:val="21"/>
          <w:u w:val="thick"/>
        </w:rPr>
        <w:t>＝＋c  kJ·mol</w:t>
      </w:r>
      <w:r>
        <w:rPr>
          <w:rFonts w:ascii="Times New Roman" w:hAnsi="Times New Roman" w:eastAsia="宋体" w:cs="Times New Roman"/>
          <w:color w:val="91ACE0"/>
          <w:szCs w:val="21"/>
          <w:u w:val="thick"/>
          <w:vertAlign w:val="superscript"/>
        </w:rPr>
        <w:t>－1</w:t>
      </w:r>
    </w:p>
    <w:p w14:paraId="0E731B33">
      <w:pPr>
        <w:tabs>
          <w:tab w:val="left" w:pos="3402"/>
        </w:tabs>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二、反应热(</w:t>
      </w:r>
      <w:r>
        <w:rPr>
          <w:rFonts w:ascii="Times New Roman" w:hAnsi="Times New Roman" w:eastAsia="宋体" w:cs="Times New Roman"/>
          <w:b/>
          <w:bCs/>
          <w:i/>
          <w:iCs/>
          <w:szCs w:val="21"/>
        </w:rPr>
        <w:t>ΔH</w:t>
      </w:r>
      <w:r>
        <w:rPr>
          <w:rFonts w:ascii="Times New Roman" w:hAnsi="Times New Roman" w:eastAsia="宋体" w:cs="Times New Roman"/>
          <w:b/>
          <w:bCs/>
          <w:szCs w:val="21"/>
        </w:rPr>
        <w:t>)的比较</w:t>
      </w:r>
    </w:p>
    <w:p w14:paraId="70E73DA1">
      <w:pPr>
        <w:tabs>
          <w:tab w:val="left" w:pos="3402"/>
        </w:tabs>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．常见的几种Δ</w:t>
      </w:r>
      <w:r>
        <w:rPr>
          <w:rFonts w:ascii="Times New Roman" w:hAnsi="Times New Roman" w:eastAsia="宋体" w:cs="Times New Roman"/>
          <w:i/>
          <w:szCs w:val="21"/>
        </w:rPr>
        <w:t>H</w:t>
      </w:r>
      <w:r>
        <w:rPr>
          <w:rFonts w:ascii="Times New Roman" w:hAnsi="Times New Roman" w:eastAsia="宋体" w:cs="Times New Roman"/>
          <w:szCs w:val="21"/>
        </w:rPr>
        <w:t>大小比较方法</w:t>
      </w:r>
    </w:p>
    <w:p w14:paraId="72343BFA">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(1)如果化学计量数加倍，Δ</w:t>
      </w:r>
      <w:r>
        <w:rPr>
          <w:rFonts w:ascii="Times New Roman" w:hAnsi="Times New Roman" w:eastAsia="宋体" w:cs="Times New Roman"/>
          <w:i/>
          <w:szCs w:val="21"/>
        </w:rPr>
        <w:t>H</w:t>
      </w:r>
      <w:r>
        <w:rPr>
          <w:rFonts w:ascii="Times New Roman" w:hAnsi="Times New Roman" w:eastAsia="宋体" w:cs="Times New Roman"/>
          <w:szCs w:val="21"/>
        </w:rPr>
        <w:t>的绝对值也要加倍</w:t>
      </w:r>
    </w:p>
    <w:p w14:paraId="58EDD4A3">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例如，H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O(l)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i/>
          <w:szCs w:val="21"/>
        </w:rPr>
        <w:t>a</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r>
        <w:rPr>
          <w:rFonts w:ascii="Times New Roman" w:hAnsi="Times New Roman" w:eastAsia="宋体" w:cs="Times New Roman"/>
          <w:szCs w:val="21"/>
        </w:rPr>
        <w:t>；</w:t>
      </w:r>
    </w:p>
    <w:p w14:paraId="370363EE">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2H</w:t>
      </w:r>
      <w:r>
        <w:rPr>
          <w:rFonts w:ascii="Times New Roman" w:hAnsi="Times New Roman" w:eastAsia="宋体" w:cs="Times New Roman"/>
          <w:szCs w:val="21"/>
          <w:vertAlign w:val="subscript"/>
        </w:rPr>
        <w:t>2</w:t>
      </w:r>
      <w:r>
        <w:rPr>
          <w:rFonts w:ascii="Times New Roman" w:hAnsi="Times New Roman" w:eastAsia="宋体" w:cs="Times New Roman"/>
          <w:szCs w:val="21"/>
        </w:rPr>
        <w:t>(g)＋O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2H</w:t>
      </w:r>
      <w:r>
        <w:rPr>
          <w:rFonts w:ascii="Times New Roman" w:hAnsi="Times New Roman" w:eastAsia="宋体" w:cs="Times New Roman"/>
          <w:szCs w:val="21"/>
          <w:vertAlign w:val="subscript"/>
        </w:rPr>
        <w:t>2</w:t>
      </w:r>
      <w:r>
        <w:rPr>
          <w:rFonts w:ascii="Times New Roman" w:hAnsi="Times New Roman" w:eastAsia="宋体" w:cs="Times New Roman"/>
          <w:szCs w:val="21"/>
        </w:rPr>
        <w:t>O(l)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i/>
          <w:szCs w:val="21"/>
        </w:rPr>
        <w:t>b</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r>
        <w:rPr>
          <w:rFonts w:ascii="Times New Roman" w:hAnsi="Times New Roman" w:eastAsia="宋体" w:cs="Times New Roman"/>
          <w:szCs w:val="21"/>
        </w:rPr>
        <w:t>，其中Δ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＜0，且</w:t>
      </w:r>
      <w:r>
        <w:rPr>
          <w:rFonts w:ascii="Times New Roman" w:hAnsi="Times New Roman" w:eastAsia="宋体" w:cs="Times New Roman"/>
          <w:i/>
          <w:szCs w:val="21"/>
        </w:rPr>
        <w:t>b</w:t>
      </w:r>
      <w:r>
        <w:rPr>
          <w:rFonts w:ascii="Times New Roman" w:hAnsi="Times New Roman" w:eastAsia="宋体" w:cs="Times New Roman"/>
          <w:szCs w:val="21"/>
        </w:rPr>
        <w:t>＝2</w:t>
      </w:r>
      <w:r>
        <w:rPr>
          <w:rFonts w:ascii="Times New Roman" w:hAnsi="Times New Roman" w:eastAsia="宋体" w:cs="Times New Roman"/>
          <w:i/>
          <w:szCs w:val="21"/>
        </w:rPr>
        <w:t>a</w:t>
      </w:r>
      <w:r>
        <w:rPr>
          <w:rFonts w:ascii="Times New Roman" w:hAnsi="Times New Roman" w:eastAsia="宋体" w:cs="Times New Roman"/>
          <w:szCs w:val="21"/>
        </w:rPr>
        <w:t>。</w:t>
      </w:r>
    </w:p>
    <w:p w14:paraId="181D7ED3">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(2)同一反应，反应物或生成物的状态不同，反应热不同</w:t>
      </w:r>
    </w:p>
    <w:p w14:paraId="3E972491">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在同一反应里，反应物或生成物</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-1174115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9"/>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状态不同时，要考虑A(g)</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\o(</w:instrText>
      </w:r>
      <w:r>
        <w:rPr>
          <w:rFonts w:ascii="Times New Roman" w:hAnsi="Times New Roman" w:eastAsia="宋体" w:cs="Times New Roman"/>
          <w:szCs w:val="21"/>
        </w:rPr>
        <w:sym w:font="ZBFH" w:char="E225"/>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6"/>
      </w:r>
      <w:r>
        <w:rPr>
          <w:rFonts w:ascii="Times New Roman" w:hAnsi="Times New Roman" w:eastAsia="宋体" w:cs="Times New Roman"/>
          <w:szCs w:val="21"/>
        </w:rPr>
        <w:instrText xml:space="preserve">,\s\up11(放热),\s\do4(吸热))</w:instrText>
      </w:r>
      <w:r>
        <w:rPr>
          <w:rFonts w:ascii="Times New Roman" w:hAnsi="Times New Roman" w:eastAsia="宋体" w:cs="Times New Roman"/>
          <w:szCs w:val="21"/>
        </w:rPr>
        <w:fldChar w:fldCharType="end"/>
      </w:r>
      <w:r>
        <w:rPr>
          <w:rFonts w:ascii="Times New Roman" w:hAnsi="Times New Roman" w:eastAsia="宋体" w:cs="Times New Roman"/>
          <w:szCs w:val="21"/>
        </w:rPr>
        <w:t>A(l)</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\o(</w:instrText>
      </w:r>
      <w:r>
        <w:rPr>
          <w:rFonts w:ascii="Times New Roman" w:hAnsi="Times New Roman" w:eastAsia="宋体" w:cs="Times New Roman"/>
          <w:szCs w:val="21"/>
        </w:rPr>
        <w:sym w:font="ZBFH" w:char="E225"/>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6"/>
      </w:r>
      <w:r>
        <w:rPr>
          <w:rFonts w:ascii="Times New Roman" w:hAnsi="Times New Roman" w:eastAsia="宋体" w:cs="Times New Roman"/>
          <w:szCs w:val="21"/>
        </w:rPr>
        <w:instrText xml:space="preserve">,\s\up11(放热),\s\do4(吸热))</w:instrText>
      </w:r>
      <w:r>
        <w:rPr>
          <w:rFonts w:ascii="Times New Roman" w:hAnsi="Times New Roman" w:eastAsia="宋体" w:cs="Times New Roman"/>
          <w:szCs w:val="21"/>
        </w:rPr>
        <w:fldChar w:fldCharType="end"/>
      </w:r>
      <w:r>
        <w:rPr>
          <w:rFonts w:ascii="Times New Roman" w:hAnsi="Times New Roman" w:eastAsia="宋体" w:cs="Times New Roman"/>
          <w:szCs w:val="21"/>
        </w:rPr>
        <w:t>A(s)，或者从三状态自身的能量比较：</w:t>
      </w:r>
      <w:r>
        <w:rPr>
          <w:rFonts w:ascii="Times New Roman" w:hAnsi="Times New Roman" w:eastAsia="宋体" w:cs="Times New Roman"/>
          <w:i/>
          <w:szCs w:val="21"/>
        </w:rPr>
        <w:t>E</w:t>
      </w:r>
      <w:r>
        <w:rPr>
          <w:rFonts w:ascii="Times New Roman" w:hAnsi="Times New Roman" w:eastAsia="宋体" w:cs="Times New Roman"/>
          <w:szCs w:val="21"/>
        </w:rPr>
        <w:t>(g)＞</w:t>
      </w:r>
      <w:r>
        <w:rPr>
          <w:rFonts w:ascii="Times New Roman" w:hAnsi="Times New Roman" w:eastAsia="宋体" w:cs="Times New Roman"/>
          <w:i/>
          <w:szCs w:val="21"/>
        </w:rPr>
        <w:t>E</w:t>
      </w:r>
      <w:r>
        <w:rPr>
          <w:rFonts w:ascii="Times New Roman" w:hAnsi="Times New Roman" w:eastAsia="宋体" w:cs="Times New Roman"/>
          <w:szCs w:val="21"/>
        </w:rPr>
        <w:t>(l)＞</w:t>
      </w:r>
      <w:r>
        <w:rPr>
          <w:rFonts w:ascii="Times New Roman" w:hAnsi="Times New Roman" w:eastAsia="宋体" w:cs="Times New Roman"/>
          <w:i/>
          <w:szCs w:val="21"/>
        </w:rPr>
        <w:t>E</w:t>
      </w:r>
      <w:r>
        <w:rPr>
          <w:rFonts w:ascii="Times New Roman" w:hAnsi="Times New Roman" w:eastAsia="宋体" w:cs="Times New Roman"/>
          <w:szCs w:val="21"/>
        </w:rPr>
        <w:t>(s)，可知反应热大小亦不相同。</w:t>
      </w:r>
    </w:p>
    <w:p w14:paraId="4762A631">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如S(g)＋O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i/>
          <w:szCs w:val="21"/>
        </w:rPr>
        <w:t>a</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2E8E85A3">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S(s)＋O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i/>
          <w:szCs w:val="21"/>
        </w:rPr>
        <w:t>b</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2CA97DE8">
      <w:pPr>
        <w:tabs>
          <w:tab w:val="left" w:pos="3402"/>
        </w:tabs>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993265" cy="933450"/>
            <wp:effectExtent l="0" t="0" r="6985" b="0"/>
            <wp:docPr id="14613750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375047"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93265" cy="933450"/>
                    </a:xfrm>
                    <a:prstGeom prst="rect">
                      <a:avLst/>
                    </a:prstGeom>
                    <a:noFill/>
                    <a:ln>
                      <a:noFill/>
                    </a:ln>
                  </pic:spPr>
                </pic:pic>
              </a:graphicData>
            </a:graphic>
          </wp:inline>
        </w:drawing>
      </w:r>
    </w:p>
    <w:p w14:paraId="7D4FEFE4">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(3)晶体类型不同，产物相同的反应，反应热不同</w:t>
      </w:r>
    </w:p>
    <w:p w14:paraId="7EB2EA05">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如C(s，石墨)＋O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i/>
          <w:szCs w:val="21"/>
        </w:rPr>
        <w:t>a</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30C8CD1C">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C(s，金刚石)＋O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i/>
          <w:szCs w:val="21"/>
        </w:rPr>
        <w:t>b</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2271786D">
      <w:pPr>
        <w:tabs>
          <w:tab w:val="left" w:pos="3402"/>
        </w:tabs>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550795" cy="1012190"/>
            <wp:effectExtent l="0" t="0" r="1905" b="16510"/>
            <wp:docPr id="12063806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380693"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50795" cy="1012190"/>
                    </a:xfrm>
                    <a:prstGeom prst="rect">
                      <a:avLst/>
                    </a:prstGeom>
                    <a:noFill/>
                    <a:ln>
                      <a:noFill/>
                    </a:ln>
                  </pic:spPr>
                </pic:pic>
              </a:graphicData>
            </a:graphic>
          </wp:inline>
        </w:drawing>
      </w:r>
    </w:p>
    <w:p w14:paraId="7625AB7C">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(4)根据反应进行的程度比较反应热大小</w:t>
      </w:r>
    </w:p>
    <w:p w14:paraId="1E30B59A">
      <w:pPr>
        <w:tabs>
          <w:tab w:val="left" w:pos="3402"/>
        </w:tabs>
        <w:snapToGrid w:val="0"/>
        <w:spacing w:line="360" w:lineRule="auto"/>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其他条件相同，燃烧越充分，放出热量越多，Δ</w:t>
      </w:r>
      <w:r>
        <w:rPr>
          <w:rFonts w:ascii="Times New Roman" w:hAnsi="Times New Roman" w:eastAsia="宋体" w:cs="Times New Roman"/>
          <w:i/>
          <w:szCs w:val="21"/>
        </w:rPr>
        <w:t>H</w:t>
      </w:r>
      <w:r>
        <w:rPr>
          <w:rFonts w:ascii="Times New Roman" w:hAnsi="Times New Roman" w:eastAsia="宋体" w:cs="Times New Roman"/>
          <w:szCs w:val="21"/>
        </w:rPr>
        <w:t>越小，如C(s)＋</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；C(s)＋O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，则Δ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p>
    <w:p w14:paraId="4DB38AAB">
      <w:pPr>
        <w:tabs>
          <w:tab w:val="left" w:pos="3402"/>
        </w:tabs>
        <w:snapToGrid w:val="0"/>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对于可逆反应，由于反应物不可能完全转化为生成物，所以实际放出(或吸收)的热量小于相应的热化学方程式中的Δ</w:t>
      </w:r>
      <w:r>
        <w:rPr>
          <w:rFonts w:ascii="Times New Roman" w:hAnsi="Times New Roman" w:eastAsia="宋体" w:cs="Times New Roman"/>
          <w:i/>
          <w:szCs w:val="21"/>
        </w:rPr>
        <w:t>H</w:t>
      </w:r>
      <w:r>
        <w:rPr>
          <w:rFonts w:ascii="Times New Roman" w:hAnsi="Times New Roman" w:eastAsia="宋体" w:cs="Times New Roman"/>
          <w:szCs w:val="21"/>
        </w:rPr>
        <w:t>的绝对值。如：2SO</w:t>
      </w:r>
      <w:r>
        <w:rPr>
          <w:rFonts w:ascii="Times New Roman" w:hAnsi="Times New Roman" w:eastAsia="宋体" w:cs="Times New Roman"/>
          <w:szCs w:val="21"/>
          <w:vertAlign w:val="subscript"/>
        </w:rPr>
        <w:t>2</w:t>
      </w:r>
      <w:r>
        <w:rPr>
          <w:rFonts w:ascii="Times New Roman" w:hAnsi="Times New Roman" w:eastAsia="宋体" w:cs="Times New Roman"/>
          <w:szCs w:val="21"/>
        </w:rPr>
        <w:t>(g)＋O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sym w:font="ZBFH" w:char="E225"/>
      </w:r>
      <w:r>
        <w:rPr>
          <w:rFonts w:ascii="Times New Roman" w:hAnsi="Times New Roman" w:eastAsia="宋体" w:cs="Times New Roman"/>
          <w:szCs w:val="21"/>
        </w:rPr>
        <w:sym w:font="ZBFH" w:char="E226"/>
      </w:r>
      <w:r>
        <w:rPr>
          <w:rFonts w:ascii="Times New Roman" w:hAnsi="Times New Roman" w:eastAsia="宋体" w:cs="Times New Roman"/>
          <w:szCs w:val="21"/>
        </w:rPr>
        <w:t>2SO</w:t>
      </w:r>
      <w:r>
        <w:rPr>
          <w:rFonts w:ascii="Times New Roman" w:hAnsi="Times New Roman" w:eastAsia="宋体" w:cs="Times New Roman"/>
          <w:szCs w:val="21"/>
          <w:vertAlign w:val="subscript"/>
        </w:rPr>
        <w:t>3</w:t>
      </w:r>
      <w:r>
        <w:rPr>
          <w:rFonts w:ascii="Times New Roman" w:hAnsi="Times New Roman" w:eastAsia="宋体" w:cs="Times New Roman"/>
          <w:szCs w:val="21"/>
        </w:rPr>
        <w:t>(g)Δ</w:t>
      </w:r>
      <w:r>
        <w:rPr>
          <w:rFonts w:ascii="Times New Roman" w:hAnsi="Times New Roman" w:eastAsia="宋体" w:cs="Times New Roman"/>
          <w:i/>
          <w:szCs w:val="21"/>
        </w:rPr>
        <w:t>H</w:t>
      </w:r>
      <w:r>
        <w:rPr>
          <w:rFonts w:ascii="Times New Roman" w:hAnsi="Times New Roman" w:eastAsia="宋体" w:cs="Times New Roman"/>
          <w:szCs w:val="21"/>
        </w:rPr>
        <w:t>＝－197 kJ·mol</w:t>
      </w:r>
      <w:r>
        <w:rPr>
          <w:rFonts w:ascii="Times New Roman" w:hAnsi="Times New Roman" w:eastAsia="宋体" w:cs="Times New Roman"/>
          <w:szCs w:val="21"/>
          <w:vertAlign w:val="superscript"/>
        </w:rPr>
        <w:t>－1</w:t>
      </w:r>
      <w:r>
        <w:rPr>
          <w:rFonts w:ascii="Times New Roman" w:hAnsi="Times New Roman" w:eastAsia="宋体" w:cs="Times New Roman"/>
          <w:szCs w:val="21"/>
        </w:rPr>
        <w:t>，向密闭容器中通入2 mol SO</w:t>
      </w:r>
      <w:r>
        <w:rPr>
          <w:rFonts w:ascii="Times New Roman" w:hAnsi="Times New Roman" w:eastAsia="宋体" w:cs="Times New Roman"/>
          <w:szCs w:val="21"/>
          <w:vertAlign w:val="subscript"/>
        </w:rPr>
        <w:t>2</w:t>
      </w:r>
      <w:r>
        <w:rPr>
          <w:rFonts w:ascii="Times New Roman" w:hAnsi="Times New Roman" w:eastAsia="宋体" w:cs="Times New Roman"/>
          <w:szCs w:val="21"/>
        </w:rPr>
        <w:t>(g)和1 mol O</w:t>
      </w:r>
      <w:r>
        <w:rPr>
          <w:rFonts w:ascii="Times New Roman" w:hAnsi="Times New Roman" w:eastAsia="宋体" w:cs="Times New Roman"/>
          <w:szCs w:val="21"/>
          <w:vertAlign w:val="subscript"/>
        </w:rPr>
        <w:t>2</w:t>
      </w:r>
      <w:r>
        <w:rPr>
          <w:rFonts w:ascii="Times New Roman" w:hAnsi="Times New Roman" w:eastAsia="宋体" w:cs="Times New Roman"/>
          <w:szCs w:val="21"/>
        </w:rPr>
        <w:t>(g)，发生上述反应，达到平衡后，放出的热量小于197 kJ，但Δ</w:t>
      </w:r>
      <w:r>
        <w:rPr>
          <w:rFonts w:ascii="Times New Roman" w:hAnsi="Times New Roman" w:eastAsia="宋体" w:cs="Times New Roman"/>
          <w:i/>
          <w:szCs w:val="21"/>
        </w:rPr>
        <w:t>H</w:t>
      </w:r>
      <w:r>
        <w:rPr>
          <w:rFonts w:ascii="Times New Roman" w:hAnsi="Times New Roman" w:eastAsia="宋体" w:cs="Times New Roman"/>
          <w:szCs w:val="21"/>
        </w:rPr>
        <w:t>仍为－197 kJ·mol</w:t>
      </w:r>
      <w:r>
        <w:rPr>
          <w:rFonts w:ascii="Times New Roman" w:hAnsi="Times New Roman" w:eastAsia="宋体" w:cs="Times New Roman"/>
          <w:szCs w:val="21"/>
          <w:vertAlign w:val="superscript"/>
        </w:rPr>
        <w:t>－1</w:t>
      </w:r>
      <w:r>
        <w:rPr>
          <w:rFonts w:ascii="Times New Roman" w:hAnsi="Times New Roman" w:eastAsia="宋体" w:cs="Times New Roman"/>
          <w:szCs w:val="21"/>
        </w:rPr>
        <w:t>。</w:t>
      </w:r>
    </w:p>
    <w:p w14:paraId="7BDBA506">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3456CE64">
      <w:pPr>
        <w:tabs>
          <w:tab w:val="left" w:pos="3544"/>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（1）焓变（Δ</w:t>
      </w:r>
      <w:r>
        <w:rPr>
          <w:rFonts w:ascii="Times New Roman" w:hAnsi="Times New Roman" w:eastAsia="宋体" w:cs="Times New Roman"/>
          <w:i/>
          <w:szCs w:val="21"/>
        </w:rPr>
        <w:t>H</w:t>
      </w:r>
      <w:r>
        <w:rPr>
          <w:rFonts w:ascii="Times New Roman" w:hAnsi="Times New Roman" w:eastAsia="宋体" w:cs="Times New Roman"/>
          <w:szCs w:val="21"/>
        </w:rPr>
        <w:t>）不随物质的物质的量发生变化，所以50 g H</w:t>
      </w:r>
      <w:r>
        <w:rPr>
          <w:rFonts w:ascii="Times New Roman" w:hAnsi="Times New Roman" w:eastAsia="宋体" w:cs="Times New Roman"/>
          <w:szCs w:val="21"/>
          <w:vertAlign w:val="subscript"/>
        </w:rPr>
        <w:t>2</w:t>
      </w:r>
      <w:r>
        <w:rPr>
          <w:rFonts w:ascii="Times New Roman" w:hAnsi="Times New Roman" w:eastAsia="宋体" w:cs="Times New Roman"/>
          <w:szCs w:val="21"/>
        </w:rPr>
        <w:t>（g）完全燃烧生成液态水放出的热量与100g H</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（g）完全燃烧生成液态水放出的热量相同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0138ABDF">
      <w:pPr>
        <w:tabs>
          <w:tab w:val="left" w:pos="3544"/>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（2）吸热反应中，反应物化学键断裂吸收的总能量高于生成物形成化学键放出的总能量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76263FCF">
      <w:pPr>
        <w:tabs>
          <w:tab w:val="left" w:pos="3544"/>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（3）S(g)＋O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＜0，S(s)＋O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＜0，则Δ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 xml:space="preserve"> &gt;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 </w:t>
      </w:r>
      <w:r>
        <w:rPr>
          <w:rFonts w:ascii="Times New Roman" w:hAnsi="Times New Roman" w:eastAsia="宋体" w:cs="Times New Roman"/>
          <w:color w:val="91ACE0"/>
          <w:szCs w:val="21"/>
        </w:rPr>
        <w:t xml:space="preserve">× </w:t>
      </w:r>
      <w:r>
        <w:rPr>
          <w:rFonts w:ascii="Times New Roman" w:hAnsi="Times New Roman" w:eastAsia="宋体" w:cs="Times New Roman"/>
          <w:szCs w:val="21"/>
        </w:rPr>
        <w:t>）</w:t>
      </w:r>
    </w:p>
    <w:p w14:paraId="346AD213">
      <w:pPr>
        <w:tabs>
          <w:tab w:val="left" w:pos="3544"/>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（4）石墨转变为金刚石是吸热反应，则金刚石比石墨更稳定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3085FE3E">
      <w:pPr>
        <w:tabs>
          <w:tab w:val="left" w:pos="3544"/>
        </w:tabs>
        <w:snapToGrid w:val="0"/>
        <w:spacing w:line="360" w:lineRule="auto"/>
        <w:rPr>
          <w:rFonts w:hint="eastAsia" w:ascii="Times New Roman" w:hAnsi="Times New Roman" w:eastAsia="宋体" w:cs="Times New Roman"/>
          <w:szCs w:val="21"/>
        </w:rPr>
      </w:pPr>
      <w:r>
        <w:rPr>
          <w:rFonts w:ascii="Times New Roman" w:hAnsi="Times New Roman" w:eastAsia="宋体" w:cs="Times New Roman"/>
          <w:szCs w:val="21"/>
        </w:rPr>
        <w:t>（5）C(s)＋O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C(s)＋</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 xml:space="preserve">= </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 xml:space="preserve"> =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，所以Δ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 xml:space="preserve"> &gt; Δ</w:t>
      </w:r>
      <w:r>
        <w:rPr>
          <w:rFonts w:ascii="Times New Roman" w:hAnsi="Times New Roman" w:eastAsia="宋体" w:cs="Times New Roman"/>
          <w:i/>
          <w:szCs w:val="21"/>
        </w:rPr>
        <w:t>H</w:t>
      </w:r>
      <w:r>
        <w:rPr>
          <w:rFonts w:ascii="Times New Roman" w:hAnsi="Times New Roman" w:eastAsia="宋体" w:cs="Times New Roman"/>
          <w:szCs w:val="21"/>
          <w:vertAlign w:val="subscript"/>
        </w:rPr>
        <w:t xml:space="preserve">2                </w:t>
      </w:r>
      <w:r>
        <w:rPr>
          <w:rFonts w:ascii="Times New Roman" w:hAnsi="Times New Roman" w:eastAsia="宋体" w:cs="Times New Roman"/>
          <w:szCs w:val="21"/>
        </w:rPr>
        <w:t xml:space="preserve">(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ZBFH">
    <w:altName w:val="Cambria"/>
    <w:panose1 w:val="00000000000000000000"/>
    <w:charset w:val="00"/>
    <w:family w:val="roman"/>
    <w:pitch w:val="default"/>
    <w:sig w:usb0="00000000" w:usb1="00000000" w:usb2="00000008" w:usb3="00000000" w:csb0="000001FF" w:csb1="00000000"/>
  </w:font>
  <w:font w:name="Cambria">
    <w:panose1 w:val="02040503050406030204"/>
    <w:charset w:val="00"/>
    <w:family w:val="auto"/>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D2E26">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4BB82">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31567ACB">
    <w:pPr>
      <w:pStyle w:val="12"/>
      <w:rPr>
        <w:rFonts w:hint="eastAsia"/>
      </w:rPr>
    </w:pPr>
    <w:bookmarkStart w:id="1"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B021C5"/>
    <w:rsid w:val="0006608B"/>
    <w:rsid w:val="00155F19"/>
    <w:rsid w:val="001707AF"/>
    <w:rsid w:val="00780C86"/>
    <w:rsid w:val="007E24E9"/>
    <w:rsid w:val="009B359F"/>
    <w:rsid w:val="00A621DB"/>
    <w:rsid w:val="00A65F3E"/>
    <w:rsid w:val="00B021C5"/>
    <w:rsid w:val="00F76D4B"/>
    <w:rsid w:val="00FB3D55"/>
    <w:rsid w:val="0A255C41"/>
    <w:rsid w:val="393F614E"/>
    <w:rsid w:val="50A84A55"/>
    <w:rsid w:val="704F5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4.png"/><Relationship Id="rId7" Type="http://schemas.openxmlformats.org/officeDocument/2006/relationships/image" Target="NULL" TargetMode="Externa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946</Words>
  <Characters>1441</Characters>
  <Lines>41</Lines>
  <Paragraphs>66</Paragraphs>
  <TotalTime>0</TotalTime>
  <ScaleCrop>false</ScaleCrop>
  <LinksUpToDate>false</LinksUpToDate>
  <CharactersWithSpaces>1559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2025-04-02T01:56:00Z</dcterms:created>
  <dc:creator>8618080071290</dc:creator>
  <cp:lastModifiedBy>刘岩</cp:lastModifiedBy>
  <dcterms:modified xsi:type="dcterms:W3CDTF">2026-03-18T09:39:49Z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395B519FB35C4EC4B54B32E3FC0025E8_12</vt:lpwstr>
  </property>
</Properties>
</file>